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F2127" w14:textId="77777777" w:rsidR="008818EB" w:rsidRPr="008818EB" w:rsidRDefault="008818EB" w:rsidP="008818EB">
      <w:pPr>
        <w:pStyle w:val="Heading1"/>
        <w:rPr>
          <w:rFonts w:ascii="Times New Roman" w:hAnsi="Times New Roman" w:cs="Times New Roman"/>
          <w:b/>
          <w:color w:val="auto"/>
        </w:rPr>
      </w:pPr>
      <w:r w:rsidRPr="008818EB">
        <w:rPr>
          <w:rFonts w:ascii="Times New Roman" w:hAnsi="Times New Roman" w:cs="Times New Roman"/>
          <w:b/>
          <w:color w:val="auto"/>
        </w:rPr>
        <w:t>Joint and Combined Appointments: Tenure Home and Evaluation Process</w:t>
      </w:r>
    </w:p>
    <w:p w14:paraId="3967A4BE" w14:textId="77777777" w:rsidR="008818EB" w:rsidRDefault="008818EB" w:rsidP="008818EB">
      <w:pPr>
        <w:rPr>
          <w:rFonts w:ascii="Univers" w:hAnsi="Univers"/>
          <w:b/>
          <w:sz w:val="24"/>
          <w:szCs w:val="24"/>
        </w:rPr>
      </w:pPr>
    </w:p>
    <w:p w14:paraId="5827E31D" w14:textId="77777777" w:rsidR="008818EB" w:rsidRPr="0045777F" w:rsidRDefault="008818EB" w:rsidP="008818EB">
      <w:pPr>
        <w:pStyle w:val="Heading2"/>
        <w:rPr>
          <w:rFonts w:ascii="Times New Roman" w:hAnsi="Times New Roman" w:cs="Times New Roman"/>
          <w:color w:val="auto"/>
          <w:sz w:val="36"/>
          <w:szCs w:val="36"/>
        </w:rPr>
      </w:pPr>
      <w:r w:rsidRPr="0045777F">
        <w:rPr>
          <w:rFonts w:ascii="Times New Roman" w:hAnsi="Times New Roman" w:cs="Times New Roman"/>
          <w:color w:val="auto"/>
          <w:sz w:val="36"/>
          <w:szCs w:val="36"/>
        </w:rPr>
        <w:t>Principles</w:t>
      </w:r>
    </w:p>
    <w:p w14:paraId="0D40C46D" w14:textId="29BDCB3E" w:rsidR="008818EB" w:rsidRPr="0045777F" w:rsidRDefault="008818EB" w:rsidP="0045777F">
      <w:pPr>
        <w:pStyle w:val="ListParagraph"/>
        <w:numPr>
          <w:ilvl w:val="0"/>
          <w:numId w:val="5"/>
        </w:numPr>
        <w:outlineLvl w:val="0"/>
        <w:rPr>
          <w:rFonts w:ascii="Times New Roman" w:hAnsi="Times New Roman" w:cs="Times New Roman"/>
          <w:sz w:val="24"/>
          <w:szCs w:val="24"/>
        </w:rPr>
      </w:pPr>
      <w:r w:rsidRPr="0045777F">
        <w:rPr>
          <w:rFonts w:ascii="Times New Roman" w:hAnsi="Times New Roman" w:cs="Times New Roman"/>
          <w:sz w:val="24"/>
          <w:szCs w:val="24"/>
        </w:rPr>
        <w:t xml:space="preserve">It is crucial that </w:t>
      </w:r>
      <w:proofErr w:type="gramStart"/>
      <w:r w:rsidRPr="0045777F">
        <w:rPr>
          <w:rFonts w:ascii="Times New Roman" w:hAnsi="Times New Roman" w:cs="Times New Roman"/>
          <w:sz w:val="24"/>
          <w:szCs w:val="24"/>
        </w:rPr>
        <w:t>units</w:t>
      </w:r>
      <w:proofErr w:type="gramEnd"/>
      <w:r w:rsidRPr="0045777F">
        <w:rPr>
          <w:rFonts w:ascii="Times New Roman" w:hAnsi="Times New Roman" w:cs="Times New Roman"/>
          <w:sz w:val="24"/>
          <w:szCs w:val="24"/>
        </w:rPr>
        <w:t xml:space="preserve"> respect and understand differences in types of productivity valued by and characteristic of the units involved.</w:t>
      </w:r>
    </w:p>
    <w:p w14:paraId="3A90BBC7" w14:textId="1A0E85DF" w:rsidR="008818EB" w:rsidRPr="0045777F" w:rsidRDefault="008818EB" w:rsidP="008818EB">
      <w:pPr>
        <w:pStyle w:val="ListParagraph"/>
        <w:numPr>
          <w:ilvl w:val="0"/>
          <w:numId w:val="5"/>
        </w:numPr>
        <w:outlineLvl w:val="0"/>
        <w:rPr>
          <w:rFonts w:ascii="Times New Roman" w:hAnsi="Times New Roman" w:cs="Times New Roman"/>
          <w:sz w:val="24"/>
          <w:szCs w:val="24"/>
        </w:rPr>
      </w:pPr>
      <w:r w:rsidRPr="0045777F">
        <w:rPr>
          <w:rFonts w:ascii="Times New Roman" w:hAnsi="Times New Roman" w:cs="Times New Roman"/>
          <w:sz w:val="24"/>
          <w:szCs w:val="24"/>
        </w:rPr>
        <w:t>The conditions of/expectations of joint appointments need to be clearly stated at the outcome and used as the basis of evaluation.  See procedures to follow in making joint appointments.</w:t>
      </w:r>
    </w:p>
    <w:p w14:paraId="0FE48A62" w14:textId="59E5E7B2" w:rsidR="008818EB" w:rsidRDefault="008818EB" w:rsidP="0045777F">
      <w:pPr>
        <w:pStyle w:val="Heading2"/>
        <w:rPr>
          <w:rFonts w:ascii="Times New Roman" w:hAnsi="Times New Roman" w:cs="Times New Roman"/>
          <w:color w:val="auto"/>
        </w:rPr>
      </w:pPr>
      <w:r w:rsidRPr="008818EB">
        <w:rPr>
          <w:rFonts w:ascii="Times New Roman" w:hAnsi="Times New Roman" w:cs="Times New Roman"/>
          <w:color w:val="auto"/>
        </w:rPr>
        <w:t xml:space="preserve">Process </w:t>
      </w:r>
    </w:p>
    <w:p w14:paraId="0366F145" w14:textId="163791D9" w:rsidR="0045777F" w:rsidRPr="0045777F" w:rsidRDefault="0045777F" w:rsidP="0045777F">
      <w:pPr>
        <w:pStyle w:val="Heading3"/>
        <w:ind w:firstLine="720"/>
        <w:rPr>
          <w:color w:val="auto"/>
        </w:rPr>
      </w:pPr>
      <w:r w:rsidRPr="0045777F">
        <w:rPr>
          <w:color w:val="auto"/>
        </w:rPr>
        <w:t>Tenure Home</w:t>
      </w:r>
    </w:p>
    <w:p w14:paraId="1CA9E5B7" w14:textId="77777777" w:rsidR="0045777F" w:rsidRPr="0045777F" w:rsidRDefault="0045777F" w:rsidP="0045777F">
      <w:pPr>
        <w:pStyle w:val="ListParagraph"/>
        <w:outlineLvl w:val="0"/>
        <w:rPr>
          <w:rFonts w:ascii="Times New Roman" w:hAnsi="Times New Roman" w:cs="Times New Roman"/>
          <w:sz w:val="24"/>
          <w:szCs w:val="24"/>
        </w:rPr>
      </w:pPr>
    </w:p>
    <w:p w14:paraId="4D9D8B85" w14:textId="68441943" w:rsidR="008818EB" w:rsidRPr="008818EB" w:rsidRDefault="008818EB" w:rsidP="0045777F">
      <w:pPr>
        <w:ind w:left="1440"/>
        <w:rPr>
          <w:rFonts w:ascii="Times New Roman" w:hAnsi="Times New Roman" w:cs="Times New Roman"/>
          <w:sz w:val="24"/>
          <w:szCs w:val="24"/>
        </w:rPr>
      </w:pPr>
      <w:r w:rsidRPr="008818EB">
        <w:rPr>
          <w:rFonts w:ascii="Times New Roman" w:hAnsi="Times New Roman" w:cs="Times New Roman"/>
          <w:sz w:val="24"/>
          <w:szCs w:val="24"/>
        </w:rPr>
        <w:t xml:space="preserve">Faculty members with a joint appointment will have only one designated tenure-home department and college.  Typically, the tenure-home will be determined based on which unit has the larger FTE apportionment of duties.  In the case of joint appointments with percentage FTE split equally between the administrative units, the dean(s) and chair(s) will consult with the faculty member about which unit would be most appropriate as a tenure home and, once an agreement has been </w:t>
      </w:r>
      <w:r w:rsidRPr="008818EB">
        <w:rPr>
          <w:rFonts w:ascii="Times New Roman" w:hAnsi="Times New Roman" w:cs="Times New Roman"/>
          <w:sz w:val="24"/>
          <w:szCs w:val="24"/>
        </w:rPr>
        <w:t>reached, will</w:t>
      </w:r>
      <w:r w:rsidRPr="008818EB">
        <w:rPr>
          <w:rFonts w:ascii="Times New Roman" w:hAnsi="Times New Roman" w:cs="Times New Roman"/>
          <w:sz w:val="24"/>
          <w:szCs w:val="24"/>
        </w:rPr>
        <w:t xml:space="preserve"> make a recommendation on the designated tenure home to the SVCAA and the VC/IANR.</w:t>
      </w:r>
    </w:p>
    <w:p w14:paraId="4B55602C" w14:textId="77777777" w:rsidR="008818EB" w:rsidRPr="008818EB" w:rsidRDefault="008818EB" w:rsidP="008818EB">
      <w:pPr>
        <w:rPr>
          <w:rFonts w:ascii="Times New Roman" w:hAnsi="Times New Roman" w:cs="Times New Roman"/>
          <w:sz w:val="24"/>
          <w:szCs w:val="24"/>
        </w:rPr>
      </w:pPr>
    </w:p>
    <w:p w14:paraId="250159C3" w14:textId="3A328B5D" w:rsidR="008818EB" w:rsidRPr="0045777F" w:rsidRDefault="008818EB" w:rsidP="0045777F">
      <w:pPr>
        <w:pStyle w:val="Heading2"/>
        <w:ind w:firstLine="720"/>
        <w:rPr>
          <w:sz w:val="28"/>
          <w:szCs w:val="28"/>
          <w:u w:val="single"/>
        </w:rPr>
      </w:pPr>
      <w:r w:rsidRPr="0045777F">
        <w:rPr>
          <w:rStyle w:val="Heading3Char"/>
          <w:rFonts w:cs="Times New Roman"/>
          <w:color w:val="auto"/>
        </w:rPr>
        <w:t>Evaluation Process</w:t>
      </w:r>
    </w:p>
    <w:p w14:paraId="3FDD5279" w14:textId="11FC84B8" w:rsidR="008818EB" w:rsidRPr="00F44866" w:rsidRDefault="008818EB" w:rsidP="00F44866">
      <w:pPr>
        <w:pStyle w:val="Heading4"/>
        <w:ind w:left="720" w:firstLine="720"/>
      </w:pPr>
      <w:r w:rsidRPr="00F44866">
        <w:rPr>
          <w:rFonts w:eastAsia="Times New Roman"/>
        </w:rPr>
        <w:t>Annual Evaluations</w:t>
      </w:r>
    </w:p>
    <w:p w14:paraId="28B1D47C" w14:textId="77777777" w:rsidR="008818EB" w:rsidRPr="008818EB" w:rsidRDefault="008818EB" w:rsidP="008818EB">
      <w:pPr>
        <w:ind w:left="720"/>
        <w:rPr>
          <w:rFonts w:ascii="Times New Roman" w:hAnsi="Times New Roman" w:cs="Times New Roman"/>
          <w:i/>
          <w:sz w:val="24"/>
          <w:szCs w:val="24"/>
        </w:rPr>
      </w:pPr>
    </w:p>
    <w:p w14:paraId="515802FF" w14:textId="77777777" w:rsidR="0045777F" w:rsidRDefault="008818EB" w:rsidP="00F44866">
      <w:pPr>
        <w:pStyle w:val="ListParagraph"/>
        <w:numPr>
          <w:ilvl w:val="0"/>
          <w:numId w:val="8"/>
        </w:numPr>
        <w:ind w:left="1800"/>
        <w:rPr>
          <w:rFonts w:ascii="Times New Roman" w:hAnsi="Times New Roman" w:cs="Times New Roman"/>
          <w:sz w:val="24"/>
          <w:szCs w:val="24"/>
        </w:rPr>
      </w:pPr>
      <w:r w:rsidRPr="0045777F">
        <w:rPr>
          <w:rFonts w:ascii="Times New Roman" w:hAnsi="Times New Roman" w:cs="Times New Roman"/>
          <w:sz w:val="24"/>
          <w:szCs w:val="24"/>
        </w:rPr>
        <w:t xml:space="preserve">The tenure-home department will follow the procedures mandated by the </w:t>
      </w:r>
      <w:r w:rsidRPr="0045777F">
        <w:rPr>
          <w:rFonts w:ascii="Times New Roman" w:hAnsi="Times New Roman" w:cs="Times New Roman"/>
          <w:i/>
          <w:sz w:val="24"/>
          <w:szCs w:val="24"/>
        </w:rPr>
        <w:t xml:space="preserve">Guidelines for the Evaluation of Faculty: Annual Evaluations, Promotion, and Tenure (Guidelines), </w:t>
      </w:r>
      <w:r w:rsidRPr="0045777F">
        <w:rPr>
          <w:rFonts w:ascii="Times New Roman" w:hAnsi="Times New Roman" w:cs="Times New Roman"/>
          <w:sz w:val="24"/>
          <w:szCs w:val="24"/>
        </w:rPr>
        <w:t>section IV.C.</w:t>
      </w:r>
    </w:p>
    <w:p w14:paraId="2E80A567" w14:textId="77777777" w:rsidR="0045777F" w:rsidRDefault="008818EB" w:rsidP="00F44866">
      <w:pPr>
        <w:pStyle w:val="ListParagraph"/>
        <w:numPr>
          <w:ilvl w:val="0"/>
          <w:numId w:val="8"/>
        </w:numPr>
        <w:ind w:left="1800"/>
        <w:rPr>
          <w:rFonts w:ascii="Times New Roman" w:hAnsi="Times New Roman" w:cs="Times New Roman"/>
          <w:sz w:val="24"/>
          <w:szCs w:val="24"/>
        </w:rPr>
      </w:pPr>
      <w:r w:rsidRPr="0045777F">
        <w:rPr>
          <w:rFonts w:ascii="Times New Roman" w:hAnsi="Times New Roman" w:cs="Times New Roman"/>
          <w:sz w:val="24"/>
          <w:szCs w:val="24"/>
        </w:rPr>
        <w:t>If the faculty member holds a joint appointment with another department, the chair/head of the tenure-home department will solicit input into the evaluation from the chair/head and faculty of the secondary unit.</w:t>
      </w:r>
    </w:p>
    <w:p w14:paraId="42251C87" w14:textId="70314DC0" w:rsidR="008818EB" w:rsidRPr="0045777F" w:rsidRDefault="008818EB" w:rsidP="00F44866">
      <w:pPr>
        <w:pStyle w:val="ListParagraph"/>
        <w:numPr>
          <w:ilvl w:val="0"/>
          <w:numId w:val="8"/>
        </w:numPr>
        <w:ind w:left="1800"/>
        <w:rPr>
          <w:rFonts w:ascii="Times New Roman" w:hAnsi="Times New Roman" w:cs="Times New Roman"/>
          <w:sz w:val="24"/>
          <w:szCs w:val="24"/>
        </w:rPr>
      </w:pPr>
      <w:r w:rsidRPr="0045777F">
        <w:rPr>
          <w:rFonts w:ascii="Times New Roman" w:hAnsi="Times New Roman" w:cs="Times New Roman"/>
          <w:sz w:val="24"/>
          <w:szCs w:val="24"/>
        </w:rPr>
        <w:t>The Chair/Head of the tenure-home department will provide a copy of the written evaluation to the dean of the tenure-home college, who will provide all other supervising deans and vice chancellors with copies of the written evaluation.</w:t>
      </w:r>
    </w:p>
    <w:p w14:paraId="266C897A" w14:textId="77777777" w:rsidR="0045777F" w:rsidRPr="008818EB" w:rsidRDefault="0045777F" w:rsidP="008818EB">
      <w:pPr>
        <w:ind w:left="1440"/>
        <w:rPr>
          <w:rFonts w:ascii="Times New Roman" w:hAnsi="Times New Roman" w:cs="Times New Roman"/>
          <w:sz w:val="24"/>
          <w:szCs w:val="24"/>
        </w:rPr>
      </w:pPr>
    </w:p>
    <w:p w14:paraId="24C43771" w14:textId="77777777" w:rsidR="008818EB" w:rsidRDefault="008818EB" w:rsidP="008818EB">
      <w:pPr>
        <w:rPr>
          <w:rFonts w:ascii="Times New Roman" w:hAnsi="Times New Roman" w:cs="Times New Roman"/>
          <w:sz w:val="24"/>
          <w:szCs w:val="24"/>
        </w:rPr>
      </w:pPr>
    </w:p>
    <w:p w14:paraId="1E866BE1" w14:textId="77777777" w:rsidR="0045777F" w:rsidRDefault="0045777F" w:rsidP="008818EB">
      <w:pPr>
        <w:rPr>
          <w:rFonts w:ascii="Times New Roman" w:hAnsi="Times New Roman" w:cs="Times New Roman"/>
          <w:sz w:val="24"/>
          <w:szCs w:val="24"/>
        </w:rPr>
      </w:pPr>
    </w:p>
    <w:p w14:paraId="69B5E222" w14:textId="77777777" w:rsidR="0045777F" w:rsidRDefault="0045777F" w:rsidP="008818EB">
      <w:pPr>
        <w:rPr>
          <w:rFonts w:ascii="Times New Roman" w:hAnsi="Times New Roman" w:cs="Times New Roman"/>
          <w:sz w:val="24"/>
          <w:szCs w:val="24"/>
        </w:rPr>
      </w:pPr>
    </w:p>
    <w:p w14:paraId="00BD3F03" w14:textId="77777777" w:rsidR="0045777F" w:rsidRPr="008818EB" w:rsidRDefault="0045777F" w:rsidP="008818EB">
      <w:pPr>
        <w:rPr>
          <w:rFonts w:ascii="Times New Roman" w:hAnsi="Times New Roman" w:cs="Times New Roman"/>
          <w:sz w:val="24"/>
          <w:szCs w:val="24"/>
        </w:rPr>
      </w:pPr>
    </w:p>
    <w:p w14:paraId="168FC012" w14:textId="1366F423" w:rsidR="008818EB" w:rsidRPr="00F44866" w:rsidRDefault="008818EB" w:rsidP="00F44866">
      <w:pPr>
        <w:pStyle w:val="Heading4"/>
        <w:ind w:left="720" w:firstLine="720"/>
        <w:rPr>
          <w:rStyle w:val="Heading4Char"/>
          <w:rFonts w:cs="Times New Roman"/>
          <w:szCs w:val="24"/>
        </w:rPr>
      </w:pPr>
      <w:r w:rsidRPr="00F44866">
        <w:rPr>
          <w:rFonts w:eastAsia="Times New Roman"/>
        </w:rPr>
        <w:lastRenderedPageBreak/>
        <w:t>Tenure and Promotion Reviews</w:t>
      </w:r>
    </w:p>
    <w:p w14:paraId="23C83A19" w14:textId="77777777" w:rsidR="008818EB" w:rsidRPr="008818EB" w:rsidRDefault="008818EB" w:rsidP="008818EB">
      <w:pPr>
        <w:rPr>
          <w:rFonts w:ascii="Times New Roman" w:hAnsi="Times New Roman" w:cs="Times New Roman"/>
          <w:sz w:val="24"/>
          <w:szCs w:val="24"/>
        </w:rPr>
      </w:pPr>
      <w:r w:rsidRPr="008818EB">
        <w:rPr>
          <w:rFonts w:ascii="Times New Roman" w:hAnsi="Times New Roman" w:cs="Times New Roman"/>
          <w:i/>
          <w:sz w:val="24"/>
          <w:szCs w:val="24"/>
        </w:rPr>
        <w:tab/>
      </w:r>
    </w:p>
    <w:p w14:paraId="53699677" w14:textId="77777777" w:rsidR="008818EB" w:rsidRPr="008818EB" w:rsidRDefault="008818EB" w:rsidP="008818EB">
      <w:pPr>
        <w:ind w:left="1440"/>
        <w:rPr>
          <w:rFonts w:ascii="Times New Roman" w:hAnsi="Times New Roman" w:cs="Times New Roman"/>
          <w:sz w:val="24"/>
          <w:szCs w:val="24"/>
        </w:rPr>
      </w:pPr>
      <w:r w:rsidRPr="008818EB">
        <w:rPr>
          <w:rFonts w:ascii="Times New Roman" w:hAnsi="Times New Roman" w:cs="Times New Roman"/>
          <w:sz w:val="24"/>
          <w:szCs w:val="24"/>
        </w:rPr>
        <w:t xml:space="preserve">All reviewers providing input into evaluations, e.g. department and college committees, and unit administrators, will follow the procedures mandated by the </w:t>
      </w:r>
      <w:r w:rsidRPr="008818EB">
        <w:rPr>
          <w:rFonts w:ascii="Times New Roman" w:hAnsi="Times New Roman" w:cs="Times New Roman"/>
          <w:i/>
          <w:sz w:val="24"/>
          <w:szCs w:val="24"/>
        </w:rPr>
        <w:t>Guidelines</w:t>
      </w:r>
      <w:r w:rsidRPr="008818EB">
        <w:rPr>
          <w:rFonts w:ascii="Times New Roman" w:hAnsi="Times New Roman" w:cs="Times New Roman"/>
          <w:sz w:val="24"/>
          <w:szCs w:val="24"/>
        </w:rPr>
        <w:t xml:space="preserve"> in Section V. D. and VI.D.</w:t>
      </w:r>
    </w:p>
    <w:p w14:paraId="14BE34B7" w14:textId="77777777" w:rsidR="008818EB" w:rsidRPr="008818EB" w:rsidRDefault="008818EB" w:rsidP="008818EB">
      <w:pPr>
        <w:ind w:left="1440"/>
        <w:rPr>
          <w:rFonts w:ascii="Times New Roman" w:hAnsi="Times New Roman" w:cs="Times New Roman"/>
          <w:sz w:val="24"/>
          <w:szCs w:val="24"/>
        </w:rPr>
      </w:pPr>
      <w:r w:rsidRPr="008818EB">
        <w:rPr>
          <w:rFonts w:ascii="Times New Roman" w:hAnsi="Times New Roman" w:cs="Times New Roman"/>
          <w:sz w:val="24"/>
          <w:szCs w:val="24"/>
        </w:rPr>
        <w:t xml:space="preserve">Faculty and/or administrators of non-tenure-home, or secondary, units will be asked at the appropriate time to review nominations and provide input to the </w:t>
      </w:r>
      <w:proofErr w:type="gramStart"/>
      <w:r w:rsidRPr="008818EB">
        <w:rPr>
          <w:rFonts w:ascii="Times New Roman" w:hAnsi="Times New Roman" w:cs="Times New Roman"/>
          <w:sz w:val="24"/>
          <w:szCs w:val="24"/>
        </w:rPr>
        <w:t>individual(s)</w:t>
      </w:r>
      <w:proofErr w:type="gramEnd"/>
      <w:r w:rsidRPr="008818EB">
        <w:rPr>
          <w:rFonts w:ascii="Times New Roman" w:hAnsi="Times New Roman" w:cs="Times New Roman"/>
          <w:sz w:val="24"/>
          <w:szCs w:val="24"/>
        </w:rPr>
        <w:t xml:space="preserve"> responsible for a final tenure-home unit recommendation.   </w:t>
      </w:r>
    </w:p>
    <w:p w14:paraId="5FF91005" w14:textId="77777777" w:rsidR="008818EB" w:rsidRPr="008818EB" w:rsidRDefault="008818EB" w:rsidP="008818EB">
      <w:pPr>
        <w:rPr>
          <w:rFonts w:ascii="Times New Roman" w:hAnsi="Times New Roman" w:cs="Times New Roman"/>
          <w:sz w:val="24"/>
          <w:szCs w:val="24"/>
        </w:rPr>
      </w:pPr>
    </w:p>
    <w:p w14:paraId="70E86ADA" w14:textId="77777777" w:rsidR="008818EB" w:rsidRPr="008818EB" w:rsidRDefault="008818EB" w:rsidP="00F44866">
      <w:pPr>
        <w:pStyle w:val="Heading4"/>
      </w:pPr>
      <w:r w:rsidRPr="008818EB">
        <w:tab/>
      </w:r>
      <w:r w:rsidRPr="008818EB">
        <w:tab/>
        <w:t>Examples:</w:t>
      </w:r>
    </w:p>
    <w:p w14:paraId="1F5821A3" w14:textId="1488CC8C" w:rsidR="008818EB" w:rsidRDefault="0045777F" w:rsidP="0045777F">
      <w:pPr>
        <w:pStyle w:val="ListParagraph"/>
        <w:numPr>
          <w:ilvl w:val="0"/>
          <w:numId w:val="9"/>
        </w:numPr>
        <w:rPr>
          <w:rFonts w:ascii="Times New Roman" w:hAnsi="Times New Roman" w:cs="Times New Roman"/>
          <w:sz w:val="24"/>
          <w:szCs w:val="24"/>
        </w:rPr>
      </w:pPr>
      <w:r w:rsidRPr="0045777F">
        <w:rPr>
          <w:rFonts w:ascii="Times New Roman" w:hAnsi="Times New Roman" w:cs="Times New Roman"/>
          <w:sz w:val="24"/>
          <w:szCs w:val="24"/>
        </w:rPr>
        <w:t>If</w:t>
      </w:r>
      <w:r w:rsidR="008818EB" w:rsidRPr="0045777F">
        <w:rPr>
          <w:rFonts w:ascii="Times New Roman" w:hAnsi="Times New Roman" w:cs="Times New Roman"/>
          <w:sz w:val="24"/>
          <w:szCs w:val="24"/>
        </w:rPr>
        <w:t xml:space="preserve"> the joint appointment is with another department, the chair/head of the tenure-home department will request input from the chair/head and appropriate faculty of the secondary unit before making a </w:t>
      </w:r>
      <w:r w:rsidR="008818EB" w:rsidRPr="0045777F">
        <w:rPr>
          <w:rFonts w:ascii="Times New Roman" w:hAnsi="Times New Roman" w:cs="Times New Roman"/>
          <w:sz w:val="24"/>
          <w:szCs w:val="24"/>
        </w:rPr>
        <w:t>final recommendation</w:t>
      </w:r>
      <w:r w:rsidR="008818EB" w:rsidRPr="0045777F">
        <w:rPr>
          <w:rFonts w:ascii="Times New Roman" w:hAnsi="Times New Roman" w:cs="Times New Roman"/>
          <w:sz w:val="24"/>
          <w:szCs w:val="24"/>
        </w:rPr>
        <w:t xml:space="preserve"> to the College Executive Committee or Dean. </w:t>
      </w:r>
    </w:p>
    <w:p w14:paraId="172407A8" w14:textId="77777777" w:rsidR="0045777F" w:rsidRPr="0045777F" w:rsidRDefault="0045777F" w:rsidP="0045777F">
      <w:pPr>
        <w:pStyle w:val="ListParagraph"/>
        <w:ind w:left="2160"/>
        <w:rPr>
          <w:rFonts w:ascii="Times New Roman" w:hAnsi="Times New Roman" w:cs="Times New Roman"/>
          <w:sz w:val="24"/>
          <w:szCs w:val="24"/>
        </w:rPr>
      </w:pPr>
    </w:p>
    <w:p w14:paraId="130F282F" w14:textId="4B335420" w:rsidR="008818EB" w:rsidRPr="0045777F" w:rsidRDefault="0045777F" w:rsidP="0045777F">
      <w:pPr>
        <w:pStyle w:val="ListParagraph"/>
        <w:numPr>
          <w:ilvl w:val="0"/>
          <w:numId w:val="9"/>
        </w:numPr>
        <w:rPr>
          <w:rFonts w:ascii="Times New Roman" w:hAnsi="Times New Roman" w:cs="Times New Roman"/>
          <w:sz w:val="24"/>
          <w:szCs w:val="24"/>
        </w:rPr>
      </w:pPr>
      <w:r w:rsidRPr="0045777F">
        <w:rPr>
          <w:rFonts w:ascii="Times New Roman" w:hAnsi="Times New Roman" w:cs="Times New Roman"/>
          <w:sz w:val="24"/>
          <w:szCs w:val="24"/>
        </w:rPr>
        <w:t>If</w:t>
      </w:r>
      <w:r w:rsidR="008818EB" w:rsidRPr="0045777F">
        <w:rPr>
          <w:rFonts w:ascii="Times New Roman" w:hAnsi="Times New Roman" w:cs="Times New Roman"/>
          <w:sz w:val="24"/>
          <w:szCs w:val="24"/>
        </w:rPr>
        <w:t xml:space="preserve"> the joint appointment is between colleges, the departmental recommendation will be reviewed simultaneously by both colleges following procedures set forth in the </w:t>
      </w:r>
      <w:r w:rsidR="008818EB" w:rsidRPr="0045777F">
        <w:rPr>
          <w:rFonts w:ascii="Times New Roman" w:hAnsi="Times New Roman" w:cs="Times New Roman"/>
          <w:i/>
          <w:sz w:val="24"/>
          <w:szCs w:val="24"/>
        </w:rPr>
        <w:t>Guidelines</w:t>
      </w:r>
      <w:r w:rsidR="008818EB" w:rsidRPr="0045777F">
        <w:rPr>
          <w:rFonts w:ascii="Times New Roman" w:hAnsi="Times New Roman" w:cs="Times New Roman"/>
          <w:sz w:val="24"/>
          <w:szCs w:val="24"/>
        </w:rPr>
        <w:t xml:space="preserve"> and by the respective colleges.  The Dean of the tenure-home college will review input provided by the </w:t>
      </w:r>
      <w:r w:rsidR="008818EB" w:rsidRPr="0045777F">
        <w:rPr>
          <w:rFonts w:ascii="Times New Roman" w:hAnsi="Times New Roman" w:cs="Times New Roman"/>
          <w:sz w:val="24"/>
          <w:szCs w:val="24"/>
        </w:rPr>
        <w:t>designated review</w:t>
      </w:r>
      <w:r w:rsidR="008818EB" w:rsidRPr="0045777F">
        <w:rPr>
          <w:rFonts w:ascii="Times New Roman" w:hAnsi="Times New Roman" w:cs="Times New Roman"/>
          <w:sz w:val="24"/>
          <w:szCs w:val="24"/>
        </w:rPr>
        <w:t xml:space="preserve"> committee(s) and/or Dean(s) of the non-tenure-home college(s), before he or she makes a final recommendation to the appropriate Vice Chancellor. The tenure-home Vice Chancellor will solicit input from the Vice Chancellor of the secondary unit before making a final recommendation to the Chancellor.</w:t>
      </w:r>
    </w:p>
    <w:p w14:paraId="47854EDE" w14:textId="77777777" w:rsidR="008818EB" w:rsidRPr="008818EB" w:rsidRDefault="008818EB" w:rsidP="008818EB">
      <w:pPr>
        <w:rPr>
          <w:rFonts w:ascii="Times New Roman" w:hAnsi="Times New Roman" w:cs="Times New Roman"/>
          <w:sz w:val="24"/>
          <w:szCs w:val="24"/>
        </w:rPr>
      </w:pPr>
    </w:p>
    <w:p w14:paraId="602F728A" w14:textId="77777777" w:rsidR="008818EB" w:rsidRPr="008818EB" w:rsidRDefault="008818EB" w:rsidP="008818EB">
      <w:pPr>
        <w:rPr>
          <w:rFonts w:ascii="Times New Roman" w:hAnsi="Times New Roman" w:cs="Times New Roman"/>
          <w:sz w:val="24"/>
          <w:szCs w:val="24"/>
        </w:rPr>
      </w:pPr>
    </w:p>
    <w:p w14:paraId="1749F473" w14:textId="77777777" w:rsidR="008818EB" w:rsidRPr="008818EB" w:rsidRDefault="008818EB" w:rsidP="008818EB">
      <w:pPr>
        <w:rPr>
          <w:rFonts w:ascii="Times New Roman" w:hAnsi="Times New Roman" w:cs="Times New Roman"/>
          <w:sz w:val="18"/>
          <w:szCs w:val="18"/>
        </w:rPr>
      </w:pPr>
      <w:r w:rsidRPr="008818EB">
        <w:rPr>
          <w:rFonts w:ascii="Times New Roman" w:hAnsi="Times New Roman" w:cs="Times New Roman"/>
          <w:sz w:val="18"/>
          <w:szCs w:val="18"/>
        </w:rPr>
        <w:t xml:space="preserve">Adopted </w:t>
      </w:r>
      <w:proofErr w:type="gramStart"/>
      <w:r w:rsidRPr="008818EB">
        <w:rPr>
          <w:rFonts w:ascii="Times New Roman" w:hAnsi="Times New Roman" w:cs="Times New Roman"/>
          <w:sz w:val="18"/>
          <w:szCs w:val="18"/>
        </w:rPr>
        <w:t>February,</w:t>
      </w:r>
      <w:proofErr w:type="gramEnd"/>
      <w:r w:rsidRPr="008818EB">
        <w:rPr>
          <w:rFonts w:ascii="Times New Roman" w:hAnsi="Times New Roman" w:cs="Times New Roman"/>
          <w:sz w:val="18"/>
          <w:szCs w:val="18"/>
        </w:rPr>
        <w:t xml:space="preserve"> 2005</w:t>
      </w:r>
    </w:p>
    <w:p w14:paraId="18106BD9" w14:textId="77777777" w:rsidR="00C65865" w:rsidRPr="008818EB" w:rsidRDefault="00C65865">
      <w:pPr>
        <w:rPr>
          <w:rFonts w:ascii="Times New Roman" w:hAnsi="Times New Roman" w:cs="Times New Roman"/>
        </w:rPr>
      </w:pPr>
    </w:p>
    <w:sectPr w:rsidR="00C65865" w:rsidRPr="008818EB" w:rsidSect="008818EB">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17994" w14:textId="77777777" w:rsidR="0045777F" w:rsidRDefault="0045777F" w:rsidP="0045777F">
      <w:r>
        <w:separator/>
      </w:r>
    </w:p>
  </w:endnote>
  <w:endnote w:type="continuationSeparator" w:id="0">
    <w:p w14:paraId="4FF8DA26" w14:textId="77777777" w:rsidR="0045777F" w:rsidRDefault="0045777F" w:rsidP="0045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279197"/>
      <w:docPartObj>
        <w:docPartGallery w:val="Page Numbers (Bottom of Page)"/>
        <w:docPartUnique/>
      </w:docPartObj>
    </w:sdtPr>
    <w:sdtEndPr>
      <w:rPr>
        <w:rFonts w:ascii="Times New Roman" w:hAnsi="Times New Roman" w:cs="Times New Roman"/>
        <w:noProof/>
      </w:rPr>
    </w:sdtEndPr>
    <w:sdtContent>
      <w:p w14:paraId="4C74D3EB" w14:textId="4BE8B9DB" w:rsidR="0045777F" w:rsidRPr="0045777F" w:rsidRDefault="0045777F">
        <w:pPr>
          <w:pStyle w:val="Footer"/>
          <w:jc w:val="right"/>
          <w:rPr>
            <w:rFonts w:ascii="Times New Roman" w:hAnsi="Times New Roman" w:cs="Times New Roman"/>
          </w:rPr>
        </w:pPr>
        <w:r w:rsidRPr="0045777F">
          <w:rPr>
            <w:rFonts w:ascii="Times New Roman" w:hAnsi="Times New Roman" w:cs="Times New Roman"/>
          </w:rPr>
          <w:fldChar w:fldCharType="begin"/>
        </w:r>
        <w:r w:rsidRPr="0045777F">
          <w:rPr>
            <w:rFonts w:ascii="Times New Roman" w:hAnsi="Times New Roman" w:cs="Times New Roman"/>
          </w:rPr>
          <w:instrText xml:space="preserve"> PAGE   \* MERGEFORMAT </w:instrText>
        </w:r>
        <w:r w:rsidRPr="0045777F">
          <w:rPr>
            <w:rFonts w:ascii="Times New Roman" w:hAnsi="Times New Roman" w:cs="Times New Roman"/>
          </w:rPr>
          <w:fldChar w:fldCharType="separate"/>
        </w:r>
        <w:r w:rsidRPr="0045777F">
          <w:rPr>
            <w:rFonts w:ascii="Times New Roman" w:hAnsi="Times New Roman" w:cs="Times New Roman"/>
            <w:noProof/>
          </w:rPr>
          <w:t>2</w:t>
        </w:r>
        <w:r w:rsidRPr="0045777F">
          <w:rPr>
            <w:rFonts w:ascii="Times New Roman" w:hAnsi="Times New Roman" w:cs="Times New Roman"/>
            <w:noProof/>
          </w:rPr>
          <w:fldChar w:fldCharType="end"/>
        </w:r>
      </w:p>
    </w:sdtContent>
  </w:sdt>
  <w:p w14:paraId="555CE281" w14:textId="77777777" w:rsidR="0045777F" w:rsidRDefault="00457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47CDE" w14:textId="77777777" w:rsidR="0045777F" w:rsidRDefault="0045777F" w:rsidP="0045777F">
      <w:r>
        <w:separator/>
      </w:r>
    </w:p>
  </w:footnote>
  <w:footnote w:type="continuationSeparator" w:id="0">
    <w:p w14:paraId="4993D92A" w14:textId="77777777" w:rsidR="0045777F" w:rsidRDefault="0045777F" w:rsidP="00457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2615"/>
    <w:multiLevelType w:val="hybridMultilevel"/>
    <w:tmpl w:val="3D229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35FD7"/>
    <w:multiLevelType w:val="hybridMultilevel"/>
    <w:tmpl w:val="2554676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4F57B9B"/>
    <w:multiLevelType w:val="hybridMultilevel"/>
    <w:tmpl w:val="8054A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1683C"/>
    <w:multiLevelType w:val="hybridMultilevel"/>
    <w:tmpl w:val="0D16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E27CA"/>
    <w:multiLevelType w:val="hybridMultilevel"/>
    <w:tmpl w:val="09288D94"/>
    <w:lvl w:ilvl="0" w:tplc="D8E0A1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6C1534E"/>
    <w:multiLevelType w:val="hybridMultilevel"/>
    <w:tmpl w:val="997801CE"/>
    <w:lvl w:ilvl="0" w:tplc="93F6CE3A">
      <w:start w:val="1"/>
      <w:numFmt w:val="decimal"/>
      <w:lvlText w:val="%1."/>
      <w:lvlJc w:val="left"/>
      <w:pPr>
        <w:ind w:left="1080" w:hanging="72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86F91"/>
    <w:multiLevelType w:val="hybridMultilevel"/>
    <w:tmpl w:val="304677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550FCD"/>
    <w:multiLevelType w:val="hybridMultilevel"/>
    <w:tmpl w:val="DB6AE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B682E"/>
    <w:multiLevelType w:val="hybridMultilevel"/>
    <w:tmpl w:val="14E4D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885F69"/>
    <w:multiLevelType w:val="hybridMultilevel"/>
    <w:tmpl w:val="30FA5C0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70123398">
    <w:abstractNumId w:val="7"/>
  </w:num>
  <w:num w:numId="2" w16cid:durableId="824391977">
    <w:abstractNumId w:val="1"/>
  </w:num>
  <w:num w:numId="3" w16cid:durableId="1507936874">
    <w:abstractNumId w:val="6"/>
  </w:num>
  <w:num w:numId="4" w16cid:durableId="1529369624">
    <w:abstractNumId w:val="8"/>
  </w:num>
  <w:num w:numId="5" w16cid:durableId="1545095455">
    <w:abstractNumId w:val="5"/>
  </w:num>
  <w:num w:numId="6" w16cid:durableId="248589324">
    <w:abstractNumId w:val="0"/>
  </w:num>
  <w:num w:numId="7" w16cid:durableId="625552087">
    <w:abstractNumId w:val="3"/>
  </w:num>
  <w:num w:numId="8" w16cid:durableId="348723659">
    <w:abstractNumId w:val="2"/>
  </w:num>
  <w:num w:numId="9" w16cid:durableId="571739172">
    <w:abstractNumId w:val="9"/>
  </w:num>
  <w:num w:numId="10" w16cid:durableId="1204056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EB"/>
    <w:rsid w:val="0045777F"/>
    <w:rsid w:val="005952F3"/>
    <w:rsid w:val="00787AB2"/>
    <w:rsid w:val="008818EB"/>
    <w:rsid w:val="00C65865"/>
    <w:rsid w:val="00F4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E716"/>
  <w15:chartTrackingRefBased/>
  <w15:docId w15:val="{8BD272D5-4650-4EDE-9915-9BA6189E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8EB"/>
    <w:pPr>
      <w:spacing w:after="0" w:line="240" w:lineRule="auto"/>
    </w:pPr>
    <w:rPr>
      <w:rFonts w:ascii="Courier" w:eastAsia="Times New Roman" w:hAnsi="Courier" w:cs="Courier"/>
      <w:kern w:val="0"/>
      <w:sz w:val="20"/>
      <w:szCs w:val="20"/>
      <w14:ligatures w14:val="none"/>
    </w:rPr>
  </w:style>
  <w:style w:type="paragraph" w:styleId="Heading1">
    <w:name w:val="heading 1"/>
    <w:basedOn w:val="Normal"/>
    <w:next w:val="Normal"/>
    <w:link w:val="Heading1Char"/>
    <w:qFormat/>
    <w:rsid w:val="00881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1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777F"/>
    <w:pPr>
      <w:keepNext/>
      <w:keepLines/>
      <w:spacing w:before="160" w:after="80"/>
      <w:outlineLvl w:val="2"/>
    </w:pPr>
    <w:rPr>
      <w:rFonts w:ascii="Times New Roman" w:eastAsiaTheme="majorEastAsia" w:hAnsi="Times New Roman" w:cstheme="majorBidi"/>
      <w:color w:val="0F4761" w:themeColor="accent1" w:themeShade="BF"/>
      <w:sz w:val="28"/>
      <w:szCs w:val="28"/>
    </w:rPr>
  </w:style>
  <w:style w:type="paragraph" w:styleId="Heading4">
    <w:name w:val="heading 4"/>
    <w:basedOn w:val="Normal"/>
    <w:next w:val="Normal"/>
    <w:link w:val="Heading4Char"/>
    <w:autoRedefine/>
    <w:unhideWhenUsed/>
    <w:qFormat/>
    <w:rsid w:val="00F44866"/>
    <w:pPr>
      <w:keepNext/>
      <w:keepLines/>
      <w:spacing w:before="80" w:after="40"/>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semiHidden/>
    <w:unhideWhenUsed/>
    <w:qFormat/>
    <w:rsid w:val="008818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8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8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8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8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8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18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777F"/>
    <w:rPr>
      <w:rFonts w:ascii="Times New Roman" w:eastAsiaTheme="majorEastAsia" w:hAnsi="Times New Roman" w:cstheme="majorBidi"/>
      <w:color w:val="0F4761" w:themeColor="accent1" w:themeShade="BF"/>
      <w:kern w:val="0"/>
      <w:sz w:val="28"/>
      <w:szCs w:val="28"/>
      <w14:ligatures w14:val="none"/>
    </w:rPr>
  </w:style>
  <w:style w:type="character" w:customStyle="1" w:styleId="Heading4Char">
    <w:name w:val="Heading 4 Char"/>
    <w:basedOn w:val="DefaultParagraphFont"/>
    <w:link w:val="Heading4"/>
    <w:rsid w:val="00F44866"/>
    <w:rPr>
      <w:rFonts w:ascii="Times New Roman" w:eastAsiaTheme="majorEastAsia" w:hAnsi="Times New Roman" w:cstheme="majorBidi"/>
      <w:iCs/>
      <w:kern w:val="0"/>
      <w:szCs w:val="20"/>
      <w14:ligatures w14:val="none"/>
    </w:rPr>
  </w:style>
  <w:style w:type="character" w:customStyle="1" w:styleId="Heading5Char">
    <w:name w:val="Heading 5 Char"/>
    <w:basedOn w:val="DefaultParagraphFont"/>
    <w:link w:val="Heading5"/>
    <w:uiPriority w:val="9"/>
    <w:semiHidden/>
    <w:rsid w:val="008818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8EB"/>
    <w:rPr>
      <w:rFonts w:eastAsiaTheme="majorEastAsia" w:cstheme="majorBidi"/>
      <w:color w:val="272727" w:themeColor="text1" w:themeTint="D8"/>
    </w:rPr>
  </w:style>
  <w:style w:type="paragraph" w:styleId="Title">
    <w:name w:val="Title"/>
    <w:basedOn w:val="Normal"/>
    <w:next w:val="Normal"/>
    <w:link w:val="TitleChar"/>
    <w:uiPriority w:val="10"/>
    <w:qFormat/>
    <w:rsid w:val="008818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8EB"/>
    <w:pPr>
      <w:spacing w:before="160"/>
      <w:jc w:val="center"/>
    </w:pPr>
    <w:rPr>
      <w:i/>
      <w:iCs/>
      <w:color w:val="404040" w:themeColor="text1" w:themeTint="BF"/>
    </w:rPr>
  </w:style>
  <w:style w:type="character" w:customStyle="1" w:styleId="QuoteChar">
    <w:name w:val="Quote Char"/>
    <w:basedOn w:val="DefaultParagraphFont"/>
    <w:link w:val="Quote"/>
    <w:uiPriority w:val="29"/>
    <w:rsid w:val="008818EB"/>
    <w:rPr>
      <w:i/>
      <w:iCs/>
      <w:color w:val="404040" w:themeColor="text1" w:themeTint="BF"/>
    </w:rPr>
  </w:style>
  <w:style w:type="paragraph" w:styleId="ListParagraph">
    <w:name w:val="List Paragraph"/>
    <w:basedOn w:val="Normal"/>
    <w:uiPriority w:val="34"/>
    <w:qFormat/>
    <w:rsid w:val="008818EB"/>
    <w:pPr>
      <w:ind w:left="720"/>
      <w:contextualSpacing/>
    </w:pPr>
  </w:style>
  <w:style w:type="character" w:styleId="IntenseEmphasis">
    <w:name w:val="Intense Emphasis"/>
    <w:basedOn w:val="DefaultParagraphFont"/>
    <w:uiPriority w:val="21"/>
    <w:qFormat/>
    <w:rsid w:val="008818EB"/>
    <w:rPr>
      <w:i/>
      <w:iCs/>
      <w:color w:val="0F4761" w:themeColor="accent1" w:themeShade="BF"/>
    </w:rPr>
  </w:style>
  <w:style w:type="paragraph" w:styleId="IntenseQuote">
    <w:name w:val="Intense Quote"/>
    <w:basedOn w:val="Normal"/>
    <w:next w:val="Normal"/>
    <w:link w:val="IntenseQuoteChar"/>
    <w:uiPriority w:val="30"/>
    <w:qFormat/>
    <w:rsid w:val="00881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8EB"/>
    <w:rPr>
      <w:i/>
      <w:iCs/>
      <w:color w:val="0F4761" w:themeColor="accent1" w:themeShade="BF"/>
    </w:rPr>
  </w:style>
  <w:style w:type="character" w:styleId="IntenseReference">
    <w:name w:val="Intense Reference"/>
    <w:basedOn w:val="DefaultParagraphFont"/>
    <w:uiPriority w:val="32"/>
    <w:qFormat/>
    <w:rsid w:val="008818EB"/>
    <w:rPr>
      <w:b/>
      <w:bCs/>
      <w:smallCaps/>
      <w:color w:val="0F4761" w:themeColor="accent1" w:themeShade="BF"/>
      <w:spacing w:val="5"/>
    </w:rPr>
  </w:style>
  <w:style w:type="paragraph" w:styleId="Header">
    <w:name w:val="header"/>
    <w:basedOn w:val="Normal"/>
    <w:link w:val="HeaderChar"/>
    <w:uiPriority w:val="99"/>
    <w:unhideWhenUsed/>
    <w:rsid w:val="0045777F"/>
    <w:pPr>
      <w:tabs>
        <w:tab w:val="center" w:pos="4680"/>
        <w:tab w:val="right" w:pos="9360"/>
      </w:tabs>
    </w:pPr>
  </w:style>
  <w:style w:type="character" w:customStyle="1" w:styleId="HeaderChar">
    <w:name w:val="Header Char"/>
    <w:basedOn w:val="DefaultParagraphFont"/>
    <w:link w:val="Header"/>
    <w:uiPriority w:val="99"/>
    <w:rsid w:val="0045777F"/>
    <w:rPr>
      <w:rFonts w:ascii="Courier" w:eastAsia="Times New Roman" w:hAnsi="Courier" w:cs="Courier"/>
      <w:kern w:val="0"/>
      <w:sz w:val="20"/>
      <w:szCs w:val="20"/>
      <w14:ligatures w14:val="none"/>
    </w:rPr>
  </w:style>
  <w:style w:type="paragraph" w:styleId="Footer">
    <w:name w:val="footer"/>
    <w:basedOn w:val="Normal"/>
    <w:link w:val="FooterChar"/>
    <w:uiPriority w:val="99"/>
    <w:unhideWhenUsed/>
    <w:rsid w:val="0045777F"/>
    <w:pPr>
      <w:tabs>
        <w:tab w:val="center" w:pos="4680"/>
        <w:tab w:val="right" w:pos="9360"/>
      </w:tabs>
    </w:pPr>
  </w:style>
  <w:style w:type="character" w:customStyle="1" w:styleId="FooterChar">
    <w:name w:val="Footer Char"/>
    <w:basedOn w:val="DefaultParagraphFont"/>
    <w:link w:val="Footer"/>
    <w:uiPriority w:val="99"/>
    <w:rsid w:val="0045777F"/>
    <w:rPr>
      <w:rFonts w:ascii="Courier" w:eastAsia="Times New Roman" w:hAnsi="Courier" w:cs="Courie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dos Santos</dc:creator>
  <cp:keywords/>
  <dc:description/>
  <cp:lastModifiedBy>Maria dos Santos</cp:lastModifiedBy>
  <cp:revision>2</cp:revision>
  <dcterms:created xsi:type="dcterms:W3CDTF">2025-04-10T18:58:00Z</dcterms:created>
  <dcterms:modified xsi:type="dcterms:W3CDTF">2025-04-10T19:16:00Z</dcterms:modified>
</cp:coreProperties>
</file>